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67FF437"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FF5284">
        <w:rPr>
          <w:rFonts w:cs="Arial"/>
          <w:b/>
          <w:bCs/>
          <w:sz w:val="24"/>
        </w:rPr>
        <w:t>3</w:t>
      </w:r>
      <w:r w:rsidR="00266E6D">
        <w:rPr>
          <w:rFonts w:cs="Arial"/>
          <w:b/>
          <w:bCs/>
          <w:sz w:val="24"/>
        </w:rPr>
        <w:t>528</w:t>
      </w:r>
    </w:p>
    <w:p w14:paraId="792F6588" w14:textId="0BD21E9D"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3332</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ABD7095"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 xml:space="preserve">INACTIVE </w:t>
      </w:r>
      <w:proofErr w:type="spellStart"/>
      <w:r w:rsidR="00557AEC">
        <w:rPr>
          <w:rFonts w:ascii="Arial" w:hAnsi="Arial" w:cs="Arial"/>
          <w:b/>
        </w:rPr>
        <w:t>eDRX</w:t>
      </w:r>
      <w:proofErr w:type="spellEnd"/>
      <w:r w:rsidR="00557AEC">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B3EA369"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3330</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9F5D11" w:rsidRPr="00061521">
        <w:rPr>
          <w:rFonts w:ascii="Arial" w:hAnsi="Arial" w:cs="Arial"/>
          <w:bCs/>
        </w:rPr>
        <w:t>3527</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 xml:space="preserve">INACTIVE </w:t>
      </w:r>
      <w:proofErr w:type="spellStart"/>
      <w:r w:rsidRPr="0025573D">
        <w:rPr>
          <w:rFonts w:ascii="Arial" w:hAnsi="Arial"/>
        </w:rPr>
        <w:t>eDRX</w:t>
      </w:r>
      <w:proofErr w:type="spellEnd"/>
      <w:r w:rsidRPr="0025573D">
        <w:rPr>
          <w:rFonts w:ascii="Arial" w:hAnsi="Arial"/>
        </w:rPr>
        <w:t xml:space="preserve"> above 10.24sec and SDT</w:t>
      </w:r>
      <w:r>
        <w:rPr>
          <w:rFonts w:ascii="Arial" w:hAnsi="Arial"/>
        </w:rPr>
        <w:t xml:space="preserve">” which lead to further investigation as indicated in SA2 </w:t>
      </w:r>
      <w:proofErr w:type="gramStart"/>
      <w:r>
        <w:rPr>
          <w:rFonts w:ascii="Arial" w:hAnsi="Arial"/>
        </w:rPr>
        <w:t>reply</w:t>
      </w:r>
      <w:proofErr w:type="gramEnd"/>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46E19C5E" w:rsidR="0056285F" w:rsidRPr="00983045" w:rsidRDefault="0056285F" w:rsidP="008441A6">
      <w:pPr>
        <w:pStyle w:val="Header"/>
        <w:rPr>
          <w:rFonts w:ascii="Arial" w:hAnsi="Arial"/>
          <w:b/>
          <w:bCs/>
        </w:rPr>
      </w:pPr>
      <w:r w:rsidRPr="00983045">
        <w:rPr>
          <w:rFonts w:ascii="Arial" w:hAnsi="Arial"/>
          <w:b/>
          <w:bCs/>
        </w:rPr>
        <w:t xml:space="preserve">For A2 above, SA2 discussed further and concluded that </w:t>
      </w:r>
      <w:r w:rsidR="00E8569F" w:rsidRPr="00983045">
        <w:rPr>
          <w:rFonts w:ascii="Arial" w:hAnsi="Arial"/>
          <w:b/>
          <w:bCs/>
        </w:rPr>
        <w:t xml:space="preserve">when NGAP </w:t>
      </w:r>
      <w:r w:rsidR="008208A1" w:rsidRPr="00983045">
        <w:rPr>
          <w:rFonts w:ascii="Arial" w:hAnsi="Arial"/>
          <w:b/>
          <w:bCs/>
        </w:rPr>
        <w:t xml:space="preserve">RAN Paging Request is triggered for MT signalling, the 5QI may be different from the one stored in RAN UE context. </w:t>
      </w:r>
      <w:r w:rsidR="004D1CE1" w:rsidRPr="00983045">
        <w:rPr>
          <w:rFonts w:ascii="Arial" w:hAnsi="Arial"/>
          <w:b/>
          <w:bCs/>
        </w:rPr>
        <w:t>SA2 further agreed to introduce the signalling indication which can co-exists with the 5QI.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proofErr w:type="gramStart"/>
      <w:r w:rsidR="009B59D0">
        <w:rPr>
          <w:rFonts w:ascii="Arial" w:hAnsi="Arial" w:cs="Arial"/>
          <w:szCs w:val="22"/>
          <w:lang w:eastAsia="ko-KR"/>
        </w:rPr>
        <w:t>reply</w:t>
      </w:r>
      <w:proofErr w:type="gramEnd"/>
      <w:r w:rsidR="009B59D0">
        <w:rPr>
          <w:rFonts w:ascii="Arial" w:hAnsi="Arial" w:cs="Arial"/>
          <w:szCs w:val="22"/>
          <w:lang w:eastAsia="ko-KR"/>
        </w:rPr>
        <w:t xml:space="preserve">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 xml:space="preserve">INACTIVE </w:t>
      </w:r>
      <w:proofErr w:type="spellStart"/>
      <w:r w:rsidR="006A1A6B" w:rsidRPr="00A92A40">
        <w:rPr>
          <w:rFonts w:ascii="Arial" w:hAnsi="Arial" w:cs="Arial"/>
          <w:szCs w:val="22"/>
          <w:lang w:eastAsia="ko-KR"/>
        </w:rPr>
        <w:t>eDRX</w:t>
      </w:r>
      <w:proofErr w:type="spellEnd"/>
      <w:r w:rsidR="006A1A6B" w:rsidRPr="00A92A40">
        <w:rPr>
          <w:rFonts w:ascii="Arial" w:hAnsi="Arial" w:cs="Arial"/>
          <w:szCs w:val="22"/>
          <w:lang w:eastAsia="ko-KR"/>
        </w:rPr>
        <w:t xml:space="preserve">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 xml:space="preserve">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w:t>
      </w:r>
      <w:proofErr w:type="spellStart"/>
      <w:r w:rsidRPr="00FA7274">
        <w:rPr>
          <w:rFonts w:ascii="Arial" w:hAnsi="Arial" w:cs="Arial"/>
          <w:i/>
          <w:iCs/>
          <w:szCs w:val="22"/>
          <w:lang w:eastAsia="ko-KR"/>
        </w:rPr>
        <w:t>eDRX</w:t>
      </w:r>
      <w:proofErr w:type="spellEnd"/>
      <w:r w:rsidRPr="00FA7274">
        <w:rPr>
          <w:rFonts w:ascii="Arial" w:hAnsi="Arial" w:cs="Arial"/>
          <w:i/>
          <w:iCs/>
          <w:szCs w:val="22"/>
          <w:lang w:eastAsia="ko-KR"/>
        </w:rPr>
        <w:t xml:space="preserve">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w:t>
      </w:r>
      <w:r w:rsidRPr="00FA7274">
        <w:rPr>
          <w:rFonts w:ascii="Arial" w:hAnsi="Arial" w:cs="Arial"/>
          <w:i/>
          <w:iCs/>
          <w:lang w:eastAsia="ko-KR"/>
        </w:rPr>
        <w:lastRenderedPageBreak/>
        <w:t xml:space="preserve">allow for more accurate provision of the cumulative data size of the data buffered per QFI at the UPF, while </w:t>
      </w:r>
      <w:proofErr w:type="gramStart"/>
      <w:r w:rsidRPr="00FA7274">
        <w:rPr>
          <w:rFonts w:ascii="Arial" w:hAnsi="Arial" w:cs="Arial"/>
          <w:i/>
          <w:iCs/>
          <w:lang w:eastAsia="ko-KR"/>
        </w:rPr>
        <w:t>taking into account</w:t>
      </w:r>
      <w:proofErr w:type="gramEnd"/>
      <w:r w:rsidRPr="00FA7274">
        <w:rPr>
          <w:rFonts w:ascii="Arial" w:hAnsi="Arial" w:cs="Arial"/>
          <w:i/>
          <w:iCs/>
          <w:lang w:eastAsia="ko-KR"/>
        </w:rPr>
        <w:t xml:space="preserve">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w:t>
      </w:r>
      <w:proofErr w:type="gramStart"/>
      <w:r w:rsidR="00C732E0" w:rsidRPr="00061521">
        <w:rPr>
          <w:rFonts w:ascii="Arial" w:hAnsi="Arial"/>
          <w:b/>
          <w:bCs/>
        </w:rPr>
        <w:t>i.e.</w:t>
      </w:r>
      <w:proofErr w:type="gramEnd"/>
      <w:r w:rsidR="00C732E0" w:rsidRPr="00061521">
        <w:rPr>
          <w:rFonts w:ascii="Arial" w:hAnsi="Arial"/>
          <w:b/>
          <w:bCs/>
        </w:rPr>
        <w:t xml:space="preserv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xml:space="preserve">, </w:t>
      </w:r>
      <w:proofErr w:type="gramStart"/>
      <w:r w:rsidRPr="00A07A16">
        <w:rPr>
          <w:rFonts w:ascii="Arial" w:hAnsi="Arial" w:cs="Arial"/>
          <w:sz w:val="22"/>
          <w:szCs w:val="22"/>
        </w:rPr>
        <w:t>202</w:t>
      </w:r>
      <w:r w:rsidR="002B62BE">
        <w:rPr>
          <w:rFonts w:ascii="Arial" w:hAnsi="Arial" w:cs="Arial"/>
          <w:sz w:val="22"/>
          <w:szCs w:val="22"/>
        </w:rPr>
        <w:t>4</w:t>
      </w:r>
      <w:proofErr w:type="gramEnd"/>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053D" w14:textId="77777777" w:rsidR="00976132" w:rsidRDefault="00976132">
      <w:r>
        <w:separator/>
      </w:r>
    </w:p>
  </w:endnote>
  <w:endnote w:type="continuationSeparator" w:id="0">
    <w:p w14:paraId="754EA42B" w14:textId="77777777" w:rsidR="00976132" w:rsidRDefault="0097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ADF4" w14:textId="77777777" w:rsidR="00976132" w:rsidRDefault="00976132">
      <w:r>
        <w:separator/>
      </w:r>
    </w:p>
  </w:footnote>
  <w:footnote w:type="continuationSeparator" w:id="0">
    <w:p w14:paraId="4A78F4C5" w14:textId="77777777" w:rsidR="00976132" w:rsidRDefault="00976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436</cp:revision>
  <cp:lastPrinted>2002-04-23T07:10:00Z</cp:lastPrinted>
  <dcterms:created xsi:type="dcterms:W3CDTF">2022-05-18T15:28:00Z</dcterms:created>
  <dcterms:modified xsi:type="dcterms:W3CDTF">2023-11-17T14:28:00Z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